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hint="eastAsia" w:ascii="宋体" w:hAnsi="宋体" w:eastAsia="宋体"/>
          <w:b/>
          <w:sz w:val="32"/>
          <w:szCs w:val="32"/>
          <w:lang w:eastAsia="zh-CN"/>
        </w:rPr>
        <w:t>6</w:t>
      </w: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年招收攻读博士学位研究生(普通招考方式)</w:t>
      </w: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科目代码：3031          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科目名称：国际法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pStyle w:val="8"/>
        <w:ind w:left="1464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第一编 国际法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国际法基础理论与新问题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国际法主体等相关问题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国际法律责任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领土法、海洋法、空间法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国际人权法、环境法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条约法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国际组织法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国际争端解决</w:t>
      </w:r>
    </w:p>
    <w:p>
      <w:pPr>
        <w:pStyle w:val="8"/>
        <w:ind w:left="1464" w:firstLine="0" w:firstLineChars="0"/>
      </w:pPr>
    </w:p>
    <w:p>
      <w:pPr>
        <w:pStyle w:val="8"/>
        <w:ind w:left="1464" w:firstLine="0" w:firstLineChars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第二编 国际私法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国际私法基础理论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国际私法冲突、冲突规范与准据法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外国人民事法律地位与国际私法关系主体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国际私法的识别及识别方法论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国际私法的公共秩序保留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国际私法中的财产、物权、合同问题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国际私法中婚姻家庭继承扶养问题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国际私法的救济措施</w:t>
      </w:r>
    </w:p>
    <w:p>
      <w:pPr>
        <w:pStyle w:val="8"/>
        <w:ind w:left="1884" w:firstLine="0" w:firstLineChars="0"/>
      </w:pPr>
    </w:p>
    <w:p>
      <w:pPr>
        <w:ind w:left="1464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第三编 国际经济法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国际经济法基础理论</w:t>
      </w:r>
    </w:p>
    <w:p>
      <w:pPr>
        <w:pStyle w:val="8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贸易法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世界贸易组织法</w:t>
      </w:r>
    </w:p>
    <w:p>
      <w:pPr>
        <w:pStyle w:val="8"/>
        <w:numPr>
          <w:ilvl w:val="0"/>
          <w:numId w:val="3"/>
        </w:numPr>
        <w:ind w:firstLineChars="0"/>
      </w:pPr>
      <w:r>
        <w:t>国际投资法</w:t>
      </w:r>
    </w:p>
    <w:p>
      <w:pPr>
        <w:pStyle w:val="8"/>
        <w:numPr>
          <w:ilvl w:val="0"/>
          <w:numId w:val="3"/>
        </w:numPr>
        <w:ind w:firstLineChars="0"/>
      </w:pPr>
      <w:r>
        <w:t>国际</w:t>
      </w:r>
      <w:r>
        <w:rPr>
          <w:rFonts w:hint="eastAsia"/>
        </w:rPr>
        <w:t>货币</w:t>
      </w:r>
      <w:r>
        <w:t>金融法</w:t>
      </w:r>
    </w:p>
    <w:p>
      <w:pPr>
        <w:pStyle w:val="8"/>
        <w:numPr>
          <w:ilvl w:val="0"/>
          <w:numId w:val="3"/>
        </w:numPr>
        <w:ind w:firstLineChars="0"/>
      </w:pPr>
      <w:r>
        <w:t>国际税法 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国际电子商务法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ascii="Arial" w:hAnsi="Arial" w:cs="Arial"/>
          <w:color w:val="111111"/>
          <w:szCs w:val="21"/>
          <w:shd w:val="clear" w:color="auto" w:fill="FFFFFF"/>
        </w:rPr>
        <w:t>国际</w:t>
      </w:r>
      <w:r>
        <w:rPr>
          <w:rFonts w:hint="eastAsia" w:ascii="Arial" w:hAnsi="Arial" w:cs="Arial"/>
          <w:color w:val="111111"/>
          <w:szCs w:val="21"/>
          <w:shd w:val="clear" w:color="auto" w:fill="FFFFFF"/>
        </w:rPr>
        <w:t>经济争端</w:t>
      </w:r>
      <w:r>
        <w:rPr>
          <w:rFonts w:ascii="Arial" w:hAnsi="Arial" w:cs="Arial"/>
          <w:color w:val="111111"/>
          <w:szCs w:val="21"/>
          <w:shd w:val="clear" w:color="auto" w:fill="FFFFFF"/>
        </w:rPr>
        <w:t>解决</w:t>
      </w:r>
    </w:p>
    <w:p>
      <w:pPr>
        <w:pStyle w:val="8"/>
        <w:ind w:left="1884" w:firstLine="0" w:firstLineChars="0"/>
        <w:rPr>
          <w:sz w:val="24"/>
          <w:szCs w:val="24"/>
        </w:rPr>
      </w:pPr>
    </w:p>
    <w:p>
      <w:pPr>
        <w:rPr>
          <w:rFonts w:hint="eastAsia"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Helvetica Neue">
    <w:panose1 w:val="02000503000000020004"/>
    <w:charset w:val="00"/>
    <w:family w:val="auto"/>
    <w:pitch w:val="default"/>
    <w:sig w:usb0="00000000" w:usb1="00000000" w:usb2="0000001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96F94"/>
    <w:multiLevelType w:val="multilevel"/>
    <w:tmpl w:val="0F696F94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1">
    <w:nsid w:val="5B646007"/>
    <w:multiLevelType w:val="multilevel"/>
    <w:tmpl w:val="5B646007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abstractNum w:abstractNumId="2">
    <w:nsid w:val="72BC555F"/>
    <w:multiLevelType w:val="multilevel"/>
    <w:tmpl w:val="72BC555F"/>
    <w:lvl w:ilvl="0" w:tentative="0">
      <w:start w:val="1"/>
      <w:numFmt w:val="decimal"/>
      <w:lvlText w:val="%1."/>
      <w:lvlJc w:val="left"/>
      <w:pPr>
        <w:ind w:left="1884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2304" w:hanging="420"/>
      </w:pPr>
    </w:lvl>
    <w:lvl w:ilvl="2" w:tentative="0">
      <w:start w:val="1"/>
      <w:numFmt w:val="lowerRoman"/>
      <w:lvlText w:val="%3."/>
      <w:lvlJc w:val="right"/>
      <w:pPr>
        <w:ind w:left="2724" w:hanging="420"/>
      </w:pPr>
    </w:lvl>
    <w:lvl w:ilvl="3" w:tentative="0">
      <w:start w:val="1"/>
      <w:numFmt w:val="decimal"/>
      <w:lvlText w:val="%4."/>
      <w:lvlJc w:val="left"/>
      <w:pPr>
        <w:ind w:left="3144" w:hanging="420"/>
      </w:pPr>
    </w:lvl>
    <w:lvl w:ilvl="4" w:tentative="0">
      <w:start w:val="1"/>
      <w:numFmt w:val="lowerLetter"/>
      <w:lvlText w:val="%5)"/>
      <w:lvlJc w:val="left"/>
      <w:pPr>
        <w:ind w:left="3564" w:hanging="420"/>
      </w:pPr>
    </w:lvl>
    <w:lvl w:ilvl="5" w:tentative="0">
      <w:start w:val="1"/>
      <w:numFmt w:val="lowerRoman"/>
      <w:lvlText w:val="%6."/>
      <w:lvlJc w:val="right"/>
      <w:pPr>
        <w:ind w:left="3984" w:hanging="420"/>
      </w:pPr>
    </w:lvl>
    <w:lvl w:ilvl="6" w:tentative="0">
      <w:start w:val="1"/>
      <w:numFmt w:val="decimal"/>
      <w:lvlText w:val="%7."/>
      <w:lvlJc w:val="left"/>
      <w:pPr>
        <w:ind w:left="4404" w:hanging="420"/>
      </w:pPr>
    </w:lvl>
    <w:lvl w:ilvl="7" w:tentative="0">
      <w:start w:val="1"/>
      <w:numFmt w:val="lowerLetter"/>
      <w:lvlText w:val="%8)"/>
      <w:lvlJc w:val="left"/>
      <w:pPr>
        <w:ind w:left="4824" w:hanging="420"/>
      </w:pPr>
    </w:lvl>
    <w:lvl w:ilvl="8" w:tentative="0">
      <w:start w:val="1"/>
      <w:numFmt w:val="lowerRoman"/>
      <w:lvlText w:val="%9."/>
      <w:lvlJc w:val="right"/>
      <w:pPr>
        <w:ind w:left="5244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52</Words>
  <Characters>300</Characters>
  <Lines>2</Lines>
  <Paragraphs>1</Paragraphs>
  <TotalTime>0</TotalTime>
  <ScaleCrop>false</ScaleCrop>
  <LinksUpToDate>false</LinksUpToDate>
  <CharactersWithSpaces>351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2019-11-08T02:55:00Z</dcterms:created>
  <dc:creator>hp</dc:creator>
  <cp:lastModifiedBy>iPhone</cp:lastModifiedBy>
  <cp:lastPrinted>2020-10-30T01:50:00Z</cp:lastPrinted>
  <dcterms:modified xsi:type="dcterms:W3CDTF">2025-11-21T15:24:46Z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2052-10.15.0</vt:lpwstr>
  </property>
  <property fmtid="{D5CDD505-2E9C-101B-9397-08002B2CF9AE}" pid="3" name="ICV">
    <vt:lpwstr>D2AAFFE4A6D5F05628DCBB6345E2D277</vt:lpwstr>
  </property>
</Properties>
</file>